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9711E5" w:rsidRPr="0061496D" w14:paraId="6947A22B" w14:textId="77777777" w:rsidTr="009711E5">
        <w:trPr>
          <w:cantSplit/>
        </w:trPr>
        <w:tc>
          <w:tcPr>
            <w:tcW w:w="4676" w:type="dxa"/>
          </w:tcPr>
          <w:p w14:paraId="378998EC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val="ba-RU" w:eastAsia="ru-RU"/>
              </w:rPr>
              <w:t>Ҡ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14:paraId="34BC5593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14:paraId="382BB8F3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Ң</w:t>
            </w:r>
          </w:p>
          <w:p w14:paraId="0063263C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14:paraId="76BE8B1C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61496D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14:paraId="06EB9DAC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61496D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eastAsia="ru-RU"/>
              </w:rPr>
              <w:t>ХАКИМИ</w:t>
            </w:r>
            <w:r w:rsidRPr="0061496D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val="ba-RU" w:eastAsia="ru-RU"/>
              </w:rPr>
              <w:t>Ә</w:t>
            </w:r>
            <w:r w:rsidRPr="0061496D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lang w:eastAsia="ru-RU"/>
              </w:rPr>
              <w:t>ТЕ</w:t>
            </w:r>
          </w:p>
          <w:p w14:paraId="180C91F3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  <w:lang w:eastAsia="ru-RU"/>
              </w:rPr>
            </w:pPr>
          </w:p>
          <w:p w14:paraId="3547CF2D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  <w:lang w:eastAsia="ru-RU"/>
              </w:rPr>
            </w:pPr>
          </w:p>
          <w:p w14:paraId="1EE3B828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</w:pPr>
            <w:proofErr w:type="gramStart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>ауылы</w:t>
            </w:r>
            <w:proofErr w:type="spellEnd"/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, </w:t>
            </w:r>
            <w:r w:rsidRPr="0061496D">
              <w:rPr>
                <w:rFonts w:ascii="Arial New Bash" w:eastAsia="Calibri" w:hAnsi="Arial New Bash" w:cs="Arial New Bash"/>
                <w:bCs/>
                <w:sz w:val="18"/>
                <w:szCs w:val="18"/>
                <w:lang w:eastAsia="ru-RU"/>
              </w:rPr>
              <w:t xml:space="preserve"> Совет</w:t>
            </w:r>
            <w:r w:rsidRPr="0061496D">
              <w:rPr>
                <w:rFonts w:ascii="Arial New Bash" w:eastAsia="Calibri" w:hAnsi="Arial New Bash" w:cs="Arial New Bash"/>
                <w:sz w:val="18"/>
                <w:szCs w:val="18"/>
                <w:lang w:eastAsia="ru-RU"/>
              </w:rPr>
              <w:t xml:space="preserve"> урамы,10</w:t>
            </w:r>
          </w:p>
          <w:p w14:paraId="211CA2F6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>тел. (34796) 27-2-69, 27-2-24</w:t>
            </w:r>
          </w:p>
          <w:p w14:paraId="62A47555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9" w:type="dxa"/>
            <w:hideMark/>
          </w:tcPr>
          <w:p w14:paraId="5A362009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  <w:lang w:eastAsia="ru-RU"/>
              </w:rPr>
            </w:pPr>
            <w:r w:rsidRPr="0061496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D3B4ED7" wp14:editId="774C75BA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14:paraId="6977D129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  <w:t xml:space="preserve">Администрация </w:t>
            </w:r>
          </w:p>
          <w:p w14:paraId="349FEE35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  <w:lang w:eastAsia="ru-RU"/>
              </w:rPr>
              <w:t>сельского поселения</w:t>
            </w:r>
          </w:p>
          <w:p w14:paraId="768238B3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  <w:lang w:eastAsia="ru-RU"/>
              </w:rPr>
            </w:pPr>
            <w:r w:rsidRPr="0061496D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  <w:lang w:eastAsia="ru-RU"/>
              </w:rPr>
              <w:t>сельсовет</w:t>
            </w:r>
          </w:p>
          <w:p w14:paraId="7CC615DF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6420D1D" w14:textId="77777777" w:rsidR="009711E5" w:rsidRPr="0061496D" w:rsidRDefault="009711E5" w:rsidP="009711E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  <w:lang w:eastAsia="ru-RU"/>
              </w:rPr>
            </w:pPr>
          </w:p>
          <w:p w14:paraId="3EFDEA2D" w14:textId="77777777" w:rsidR="009711E5" w:rsidRPr="0061496D" w:rsidRDefault="009711E5" w:rsidP="009711E5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  <w:lang w:eastAsia="ru-RU"/>
              </w:rPr>
            </w:pPr>
          </w:p>
          <w:p w14:paraId="2E0D959E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 xml:space="preserve">452227, с.  </w:t>
            </w:r>
            <w:proofErr w:type="spellStart"/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>Юмашево</w:t>
            </w:r>
            <w:proofErr w:type="spellEnd"/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 xml:space="preserve">, ул.  Советская. 10 </w:t>
            </w:r>
          </w:p>
          <w:p w14:paraId="5A319CFF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</w:pPr>
            <w:r w:rsidRPr="0061496D">
              <w:rPr>
                <w:rFonts w:ascii="Arial New Bash" w:eastAsia="Calibri" w:hAnsi="Arial New Bash" w:cs="Times New Roman"/>
                <w:bCs/>
                <w:sz w:val="18"/>
                <w:szCs w:val="28"/>
                <w:lang w:eastAsia="ru-RU"/>
              </w:rPr>
              <w:t>тел. (34796) 27-2-69, 27-2-24</w:t>
            </w:r>
          </w:p>
          <w:p w14:paraId="3C60D13B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9711E5" w:rsidRPr="0061496D" w14:paraId="3F6C4D96" w14:textId="77777777" w:rsidTr="009711E5">
        <w:trPr>
          <w:cantSplit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C252E60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  <w:lang w:eastAsia="ru-RU"/>
              </w:rPr>
            </w:pPr>
          </w:p>
          <w:p w14:paraId="39710226" w14:textId="77777777" w:rsidR="009711E5" w:rsidRPr="0061496D" w:rsidRDefault="009711E5" w:rsidP="00971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14:paraId="38E94EE8" w14:textId="77777777" w:rsidR="009711E5" w:rsidRPr="0061496D" w:rsidRDefault="009711E5" w:rsidP="009711E5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 w:eastAsia="ru-RU"/>
        </w:rPr>
      </w:pPr>
    </w:p>
    <w:p w14:paraId="6984E4D5" w14:textId="77777777" w:rsidR="009711E5" w:rsidRPr="0061496D" w:rsidRDefault="009711E5" w:rsidP="009711E5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61496D">
        <w:rPr>
          <w:rFonts w:ascii="Times New Roman" w:eastAsia="Calibri" w:hAnsi="Times New Roman" w:cs="Times New Roman"/>
          <w:sz w:val="28"/>
          <w:szCs w:val="28"/>
          <w:lang w:val="ba-RU" w:eastAsia="ru-RU"/>
        </w:rPr>
        <w:t>Ҡ</w:t>
      </w:r>
      <w:r w:rsidRPr="0061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АРАР                                       </w:t>
      </w:r>
      <w:r w:rsidRPr="0061496D">
        <w:rPr>
          <w:rFonts w:ascii="Times New Roman" w:eastAsia="Calibri" w:hAnsi="Times New Roman" w:cs="Times New Roman"/>
          <w:sz w:val="28"/>
          <w:szCs w:val="28"/>
          <w:lang w:val="ba-RU" w:eastAsia="ru-RU"/>
        </w:rPr>
        <w:t xml:space="preserve">                      </w:t>
      </w:r>
      <w:r w:rsidRPr="0061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ПОСТАНОВЛЕНИЕ</w:t>
      </w:r>
    </w:p>
    <w:p w14:paraId="2A4BB551" w14:textId="77777777" w:rsidR="009711E5" w:rsidRPr="0061496D" w:rsidRDefault="009711E5" w:rsidP="009711E5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3577BA85" w14:textId="6B2CB861" w:rsidR="009711E5" w:rsidRDefault="009711E5" w:rsidP="009711E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05 февраль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 й.                      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№ 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05 февраля</w:t>
      </w:r>
      <w:r w:rsidRPr="00614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 г.</w:t>
      </w:r>
    </w:p>
    <w:p w14:paraId="2DAA5454" w14:textId="77777777" w:rsidR="009711E5" w:rsidRPr="0061496D" w:rsidRDefault="009711E5" w:rsidP="009711E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177C470" w14:textId="77777777" w:rsidR="00F006B4" w:rsidRDefault="00F006B4" w:rsidP="0097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из Реестра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CABDFAB" w14:textId="3011A4B9" w:rsidR="009711E5" w:rsidRPr="00605542" w:rsidRDefault="00F006B4" w:rsidP="009711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711E5" w:rsidRPr="0060554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711E5">
        <w:rPr>
          <w:rFonts w:ascii="Times New Roman" w:hAnsi="Times New Roman" w:cs="Times New Roman"/>
          <w:b/>
          <w:sz w:val="28"/>
          <w:szCs w:val="28"/>
        </w:rPr>
        <w:t>и</w:t>
      </w:r>
      <w:r w:rsidR="009711E5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1E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711E5"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 w:rsidR="009711E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711E5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="009711E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4AB7E583" w14:textId="7441D596" w:rsidR="00F006B4" w:rsidRDefault="00F006B4" w:rsidP="00F0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96201" w14:textId="77777777" w:rsidR="00F006B4" w:rsidRDefault="00F006B4" w:rsidP="00F006B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1BEF946" w14:textId="38B3347B" w:rsidR="00F006B4" w:rsidRDefault="00F006B4" w:rsidP="009711E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9711E5" w:rsidRPr="003B3F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1E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9711E5" w:rsidRPr="003B3F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11E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711E5" w:rsidRPr="003B3F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66DCA54" w14:textId="77777777" w:rsidR="00F006B4" w:rsidRDefault="00F006B4" w:rsidP="00F006B4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14:paraId="308186AD" w14:textId="58731DC2" w:rsidR="009711E5" w:rsidRDefault="00F006B4" w:rsidP="009711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муниципального имущества»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1E5"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1E5" w:rsidRPr="00605542">
        <w:rPr>
          <w:rFonts w:ascii="Times New Roman" w:hAnsi="Times New Roman" w:cs="Times New Roman"/>
          <w:sz w:val="28"/>
          <w:szCs w:val="28"/>
        </w:rPr>
        <w:t>Администраци</w:t>
      </w:r>
      <w:r w:rsidR="009711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11E5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9711E5" w:rsidRPr="003B3F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1E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9711E5" w:rsidRPr="003B3F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11E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711E5" w:rsidRPr="003B3F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11E5">
        <w:rPr>
          <w:rFonts w:ascii="Times New Roman" w:hAnsi="Times New Roman" w:cs="Times New Roman"/>
          <w:sz w:val="28"/>
          <w:szCs w:val="28"/>
        </w:rPr>
        <w:t>.</w:t>
      </w:r>
    </w:p>
    <w:p w14:paraId="487E39B8" w14:textId="77777777" w:rsidR="009711E5" w:rsidRPr="0056123D" w:rsidRDefault="009711E5" w:rsidP="009711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14:paraId="2D791A31" w14:textId="77777777" w:rsidR="009711E5" w:rsidRPr="0056123D" w:rsidRDefault="009711E5" w:rsidP="009711E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поселения. </w:t>
      </w:r>
    </w:p>
    <w:p w14:paraId="19EE952E" w14:textId="77777777" w:rsidR="009711E5" w:rsidRPr="0056123D" w:rsidRDefault="009711E5" w:rsidP="0097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4563BB0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D5A9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7EDC4" w14:textId="1C464449" w:rsidR="009711E5" w:rsidRDefault="009711E5" w:rsidP="0097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6597CBA" w14:textId="402DB046" w:rsidR="00F006B4" w:rsidRDefault="009711E5" w:rsidP="009711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14:paraId="640D9DCA" w14:textId="77777777" w:rsidR="001F481A" w:rsidRDefault="001F481A" w:rsidP="00121A53">
      <w:pPr>
        <w:pStyle w:val="ConsPlusNormal"/>
        <w:tabs>
          <w:tab w:val="left" w:pos="5103"/>
        </w:tabs>
        <w:ind w:left="5670"/>
      </w:pPr>
      <w:r>
        <w:lastRenderedPageBreak/>
        <w:t xml:space="preserve">Приложение </w:t>
      </w:r>
    </w:p>
    <w:p w14:paraId="22ADE967" w14:textId="53C4FF4E" w:rsidR="00121A53" w:rsidRDefault="001F481A" w:rsidP="00121A53">
      <w:pPr>
        <w:pStyle w:val="ConsPlusNormal"/>
        <w:tabs>
          <w:tab w:val="left" w:pos="5103"/>
        </w:tabs>
        <w:ind w:left="5670"/>
      </w:pPr>
      <w:r>
        <w:t xml:space="preserve">к постановлению Администрации </w:t>
      </w:r>
      <w:r w:rsidR="009711E5">
        <w:t xml:space="preserve">СП </w:t>
      </w:r>
      <w:proofErr w:type="spellStart"/>
      <w:r w:rsidR="009711E5">
        <w:t>Юмашевский</w:t>
      </w:r>
      <w:proofErr w:type="spellEnd"/>
      <w:r w:rsidR="009711E5">
        <w:t xml:space="preserve"> сельсовет МР </w:t>
      </w:r>
      <w:proofErr w:type="spellStart"/>
      <w:r w:rsidR="009711E5">
        <w:t>Чекмагушевский</w:t>
      </w:r>
      <w:proofErr w:type="spellEnd"/>
      <w:r w:rsidR="009711E5">
        <w:t xml:space="preserve"> район</w:t>
      </w:r>
      <w:r w:rsidRPr="00245975">
        <w:t xml:space="preserve"> </w:t>
      </w:r>
      <w:r>
        <w:t>РБ</w:t>
      </w:r>
    </w:p>
    <w:p w14:paraId="456B8E61" w14:textId="77777777" w:rsidR="00C75E54" w:rsidRDefault="00C75E54" w:rsidP="00121A53">
      <w:pPr>
        <w:pStyle w:val="ConsPlusNormal"/>
        <w:tabs>
          <w:tab w:val="left" w:pos="5103"/>
        </w:tabs>
        <w:ind w:left="5670"/>
      </w:pPr>
    </w:p>
    <w:p w14:paraId="04DFCCEB" w14:textId="5A467705" w:rsidR="00121A53" w:rsidRPr="00DE0ECA" w:rsidRDefault="00121A53" w:rsidP="00121A53">
      <w:pPr>
        <w:pStyle w:val="ConsPlusNormal"/>
        <w:tabs>
          <w:tab w:val="left" w:pos="5103"/>
        </w:tabs>
        <w:ind w:left="5670"/>
      </w:pPr>
      <w:r w:rsidRPr="00DE0ECA">
        <w:t xml:space="preserve">от </w:t>
      </w:r>
      <w:r w:rsidR="00C43B90" w:rsidRPr="00DE0ECA">
        <w:t>«</w:t>
      </w:r>
      <w:r w:rsidR="009711E5">
        <w:t>06</w:t>
      </w:r>
      <w:r w:rsidR="00DD43BA" w:rsidRPr="00DE0ECA">
        <w:t>»</w:t>
      </w:r>
      <w:r w:rsidR="00CB498F" w:rsidRPr="00DE0ECA">
        <w:t xml:space="preserve"> </w:t>
      </w:r>
      <w:r w:rsidR="009711E5">
        <w:t>02</w:t>
      </w:r>
      <w:r w:rsidR="00CB498F" w:rsidRPr="00DE0ECA">
        <w:t xml:space="preserve"> 20</w:t>
      </w:r>
      <w:r w:rsidR="00DD43BA" w:rsidRPr="00DE0ECA">
        <w:t>2</w:t>
      </w:r>
      <w:r w:rsidR="009711E5">
        <w:t xml:space="preserve">4 </w:t>
      </w:r>
      <w:r w:rsidRPr="00DE0ECA">
        <w:t>г.</w:t>
      </w:r>
      <w:r w:rsidR="001F481A" w:rsidRPr="00DE0ECA">
        <w:t xml:space="preserve">   </w:t>
      </w:r>
      <w:r w:rsidRPr="00DE0ECA">
        <w:t xml:space="preserve"> №</w:t>
      </w:r>
      <w:r w:rsidR="00CB498F" w:rsidRPr="00DE0ECA">
        <w:t xml:space="preserve"> </w:t>
      </w:r>
      <w:r w:rsidR="009711E5">
        <w:t>09</w:t>
      </w:r>
    </w:p>
    <w:p w14:paraId="18C50533" w14:textId="77777777" w:rsidR="00121A53" w:rsidRPr="00DE0ECA" w:rsidRDefault="00121A53" w:rsidP="00121A53">
      <w:pPr>
        <w:pStyle w:val="ConsPlusNormal"/>
        <w:ind w:firstLine="540"/>
        <w:jc w:val="both"/>
        <w:rPr>
          <w:szCs w:val="22"/>
        </w:rPr>
      </w:pPr>
    </w:p>
    <w:p w14:paraId="4B08A821" w14:textId="77777777" w:rsidR="00B726C4" w:rsidRPr="00F210F0" w:rsidRDefault="00121A53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726C4" w:rsidRPr="00F21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2DD1" w14:textId="7DC2952A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4B4F988C" w14:textId="77777777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УСЛУГИ «ПРЕДОСТАВЛЕНИЕ</w:t>
      </w:r>
    </w:p>
    <w:p w14:paraId="479C02BC" w14:textId="77777777" w:rsidR="00B726C4" w:rsidRPr="00F210F0" w:rsidRDefault="00B726C4" w:rsidP="00B726C4">
      <w:pPr>
        <w:pStyle w:val="ConsPlusTitle"/>
        <w:jc w:val="center"/>
      </w:pPr>
      <w:r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</w:p>
    <w:p w14:paraId="695DD7E5" w14:textId="7E21A2AB" w:rsidR="00121A53" w:rsidRPr="00DE0ECA" w:rsidRDefault="00B726C4" w:rsidP="009711E5">
      <w:pPr>
        <w:pStyle w:val="ConsPlusTitle"/>
        <w:jc w:val="center"/>
        <w:rPr>
          <w:szCs w:val="22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 В </w:t>
      </w:r>
      <w:r w:rsidR="009711E5" w:rsidRPr="00605542">
        <w:rPr>
          <w:rFonts w:ascii="Times New Roman" w:hAnsi="Times New Roman" w:cs="Times New Roman"/>
          <w:sz w:val="28"/>
          <w:szCs w:val="28"/>
        </w:rPr>
        <w:t>Администраци</w:t>
      </w:r>
      <w:r w:rsidR="009711E5">
        <w:rPr>
          <w:rFonts w:ascii="Times New Roman" w:hAnsi="Times New Roman" w:cs="Times New Roman"/>
          <w:sz w:val="28"/>
          <w:szCs w:val="28"/>
        </w:rPr>
        <w:t>и</w:t>
      </w:r>
      <w:r w:rsidR="009711E5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9711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1E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9711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11E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711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0306B58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2A15F1E8" w14:textId="4A198836" w:rsidR="009711E5" w:rsidRPr="008A2B1A" w:rsidRDefault="00121A53" w:rsidP="008A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B1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</w:t>
      </w:r>
      <w:r w:rsidR="00B726C4" w:rsidRPr="008A2B1A">
        <w:rPr>
          <w:rFonts w:ascii="Times New Roman" w:hAnsi="Times New Roman" w:cs="Times New Roman"/>
          <w:sz w:val="28"/>
          <w:szCs w:val="28"/>
        </w:rPr>
        <w:t>я</w:t>
      </w:r>
      <w:r w:rsidRPr="008A2B1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8A2B1A">
        <w:rPr>
          <w:rFonts w:ascii="Times New Roman" w:hAnsi="Times New Roman" w:cs="Times New Roman"/>
          <w:sz w:val="28"/>
          <w:szCs w:val="28"/>
        </w:rPr>
        <w:t>муниципальной</w:t>
      </w:r>
      <w:r w:rsidRPr="008A2B1A">
        <w:rPr>
          <w:rFonts w:ascii="Times New Roman" w:hAnsi="Times New Roman" w:cs="Times New Roman"/>
          <w:sz w:val="28"/>
          <w:szCs w:val="28"/>
        </w:rPr>
        <w:t xml:space="preserve"> услуги «Предоставление информации из </w:t>
      </w:r>
      <w:r w:rsidR="00A9314D" w:rsidRPr="008A2B1A">
        <w:rPr>
          <w:rFonts w:ascii="Times New Roman" w:hAnsi="Times New Roman" w:cs="Times New Roman"/>
          <w:sz w:val="28"/>
          <w:szCs w:val="28"/>
        </w:rPr>
        <w:t>Р</w:t>
      </w:r>
      <w:r w:rsidRPr="008A2B1A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756E24" w:rsidRPr="008A2B1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8A2B1A">
        <w:rPr>
          <w:rFonts w:ascii="Times New Roman" w:hAnsi="Times New Roman" w:cs="Times New Roman"/>
          <w:sz w:val="28"/>
          <w:szCs w:val="28"/>
        </w:rPr>
        <w:t>»</w:t>
      </w:r>
      <w:r w:rsidR="00B726C4" w:rsidRPr="008A2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6C4" w:rsidRPr="008A2B1A">
        <w:rPr>
          <w:rFonts w:ascii="Times New Roman" w:hAnsi="Times New Roman" w:cs="Times New Roman"/>
          <w:sz w:val="28"/>
          <w:szCs w:val="28"/>
        </w:rPr>
        <w:t xml:space="preserve">в </w:t>
      </w:r>
      <w:r w:rsidR="009711E5" w:rsidRPr="008A2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1E5" w:rsidRPr="008A2B1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711E5" w:rsidRPr="008A2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11E5" w:rsidRPr="008A2B1A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9711E5" w:rsidRPr="008A2B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11E5" w:rsidRPr="008A2B1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711E5" w:rsidRPr="008A2B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213E110" w14:textId="2128C286" w:rsidR="00121A53" w:rsidRPr="00DE0ECA" w:rsidRDefault="008A2B1A" w:rsidP="00B726C4">
      <w:pPr>
        <w:pStyle w:val="ConsPlusNormal"/>
        <w:jc w:val="both"/>
      </w:pPr>
      <w:r w:rsidRPr="00DE0ECA">
        <w:t xml:space="preserve"> </w:t>
      </w:r>
      <w:r w:rsidR="00121A53" w:rsidRPr="00DE0ECA">
        <w:t xml:space="preserve">(далее </w:t>
      </w:r>
      <w:r w:rsidR="00087B15" w:rsidRPr="00DE0ECA">
        <w:t xml:space="preserve">соответственно </w:t>
      </w:r>
      <w:r w:rsidR="00121A53"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="00121A53"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="00121A53"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>Администрацией муниципального района</w:t>
      </w:r>
      <w:r w:rsidR="00087B15" w:rsidRPr="00DE0ECA">
        <w:t xml:space="preserve"> </w:t>
      </w:r>
      <w:proofErr w:type="spellStart"/>
      <w:r>
        <w:t>Чекмакгушевский</w:t>
      </w:r>
      <w:proofErr w:type="spellEnd"/>
      <w:r>
        <w:t xml:space="preserve"> район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366BD7" w:rsidRPr="00DE0ECA">
        <w:t xml:space="preserve"> </w:t>
      </w:r>
      <w:r w:rsidR="00245975">
        <w:t xml:space="preserve">                                  </w:t>
      </w:r>
      <w:r w:rsidR="00366BD7" w:rsidRPr="00DE0ECA">
        <w:t xml:space="preserve">по предоставлению информации из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="00121A53" w:rsidRPr="00DE0ECA">
        <w:t xml:space="preserve"> стандарт</w:t>
      </w:r>
      <w:r w:rsidR="009E6F75" w:rsidRPr="00DE0ECA">
        <w:t>,</w:t>
      </w:r>
      <w:r w:rsidR="00121A53" w:rsidRPr="00DE0ECA">
        <w:t xml:space="preserve"> сроки </w:t>
      </w:r>
      <w:r w:rsidR="00245975">
        <w:t xml:space="preserve">                                                      </w:t>
      </w:r>
      <w:r w:rsidR="00121A53"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="00121A53" w:rsidRPr="00DE0ECA">
        <w:t>(</w:t>
      </w:r>
      <w:r w:rsidR="00366BD7" w:rsidRPr="00DE0ECA">
        <w:t>действий</w:t>
      </w:r>
      <w:r w:rsidR="00121A53"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="00121A53"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33CE708" w14:textId="710610C4" w:rsidR="005E6A00" w:rsidRPr="008A2B1A" w:rsidRDefault="00121A53" w:rsidP="008A2B1A">
      <w:pPr>
        <w:pStyle w:val="ConsPlusNormal"/>
        <w:ind w:firstLine="709"/>
        <w:jc w:val="both"/>
      </w:pPr>
      <w:r w:rsidRPr="00DE0ECA">
        <w:t xml:space="preserve">1.3. Интересы </w:t>
      </w:r>
      <w:r w:rsidR="003667EB" w:rsidRPr="00DE0ECA">
        <w:t>заявителей</w:t>
      </w:r>
      <w:r w:rsidRPr="00DE0ECA"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6C267FC6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(Уполномоченного органа) </w:t>
      </w:r>
      <w:hyperlink r:id="rId9" w:history="1">
        <w:r w:rsidR="008A2B1A" w:rsidRPr="005804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http://umashevo.ru/</w:t>
        </w:r>
      </w:hyperlink>
      <w:r w:rsidR="008A2B1A" w:rsidRPr="0058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1A">
        <w:rPr>
          <w:rFonts w:ascii="Times New Roman" w:hAnsi="Times New Roman" w:cs="Times New Roman"/>
          <w:sz w:val="28"/>
          <w:szCs w:val="28"/>
        </w:rPr>
        <w:t>;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</w:t>
      </w:r>
      <w:r w:rsidRPr="00DE0ECA">
        <w:rPr>
          <w:rFonts w:ascii="Times New Roman" w:hAnsi="Times New Roman"/>
          <w:sz w:val="28"/>
          <w:szCs w:val="28"/>
        </w:rPr>
        <w:lastRenderedPageBreak/>
        <w:t xml:space="preserve">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 xml:space="preserve">(Уполномоченного </w:t>
      </w:r>
      <w:proofErr w:type="gramStart"/>
      <w:r w:rsidR="00481A68" w:rsidRPr="00DE0ECA">
        <w:rPr>
          <w:rFonts w:ascii="Times New Roman" w:hAnsi="Times New Roman"/>
          <w:sz w:val="28"/>
        </w:rPr>
        <w:t>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40888" w:rsidRPr="00DE0ECA">
        <w:rPr>
          <w:rFonts w:ascii="Times New Roman" w:hAnsi="Times New Roman"/>
          <w:sz w:val="28"/>
          <w:szCs w:val="28"/>
        </w:rPr>
        <w:t xml:space="preserve">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</w:t>
      </w:r>
      <w:proofErr w:type="gramStart"/>
      <w:r w:rsidRPr="00DE0ECA">
        <w:rPr>
          <w:rFonts w:ascii="Times New Roman" w:hAnsi="Times New Roman"/>
          <w:sz w:val="28"/>
          <w:szCs w:val="28"/>
        </w:rPr>
        <w:t xml:space="preserve">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 xml:space="preserve">(Уполномоченного </w:t>
      </w:r>
      <w:proofErr w:type="gramStart"/>
      <w:r w:rsidR="005F7B9A" w:rsidRPr="00DE0ECA">
        <w:rPr>
          <w:rFonts w:ascii="Times New Roman" w:hAnsi="Times New Roman"/>
          <w:sz w:val="28"/>
        </w:rPr>
        <w:t>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DE0ECA">
        <w:rPr>
          <w:rFonts w:ascii="Times New Roman" w:hAnsi="Times New Roman"/>
          <w:sz w:val="28"/>
          <w:szCs w:val="28"/>
        </w:rPr>
        <w:t xml:space="preserve">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123E9161" w14:textId="24BD31D6" w:rsidR="00777A56" w:rsidRPr="004632A6" w:rsidRDefault="00777A56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Структурное подразделение, предоставляющее </w:t>
      </w:r>
      <w:r w:rsidR="00B30954" w:rsidRPr="004632A6">
        <w:rPr>
          <w:rFonts w:ascii="Times New Roman" w:hAnsi="Times New Roman"/>
          <w:sz w:val="28"/>
          <w:szCs w:val="28"/>
        </w:rPr>
        <w:t>муниципальную</w:t>
      </w:r>
      <w:r w:rsidRPr="004632A6">
        <w:rPr>
          <w:rFonts w:ascii="Times New Roman" w:hAnsi="Times New Roman"/>
          <w:sz w:val="28"/>
          <w:szCs w:val="28"/>
        </w:rPr>
        <w:t xml:space="preserve"> услугу</w:t>
      </w:r>
      <w:r w:rsidR="00087B15" w:rsidRPr="004632A6">
        <w:rPr>
          <w:rFonts w:ascii="Times New Roman" w:hAnsi="Times New Roman"/>
          <w:sz w:val="28"/>
          <w:szCs w:val="28"/>
        </w:rPr>
        <w:t>,</w:t>
      </w:r>
      <w:r w:rsidRPr="004632A6">
        <w:rPr>
          <w:rFonts w:ascii="Times New Roman" w:hAnsi="Times New Roman"/>
          <w:sz w:val="28"/>
          <w:szCs w:val="28"/>
        </w:rPr>
        <w:t xml:space="preserve"> – </w:t>
      </w:r>
      <w:r w:rsidR="00B30954" w:rsidRPr="004632A6">
        <w:rPr>
          <w:rFonts w:ascii="Times New Roman" w:hAnsi="Times New Roman"/>
          <w:sz w:val="28"/>
          <w:szCs w:val="28"/>
        </w:rPr>
        <w:t>уполномоченное подразделение</w:t>
      </w:r>
      <w:r w:rsidR="00B01913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Администраци</w:t>
      </w:r>
      <w:r w:rsidR="00B30954" w:rsidRPr="004632A6">
        <w:rPr>
          <w:rFonts w:ascii="Times New Roman" w:hAnsi="Times New Roman"/>
          <w:sz w:val="28"/>
          <w:szCs w:val="28"/>
        </w:rPr>
        <w:t>и</w:t>
      </w:r>
      <w:r w:rsidR="00756E24" w:rsidRPr="004632A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A2B1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A2B1A">
        <w:rPr>
          <w:rFonts w:ascii="Times New Roman" w:hAnsi="Times New Roman"/>
          <w:sz w:val="28"/>
          <w:szCs w:val="28"/>
        </w:rPr>
        <w:t xml:space="preserve"> район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Республики Башкортостан</w:t>
      </w:r>
      <w:r w:rsidRPr="004632A6">
        <w:rPr>
          <w:rFonts w:ascii="Times New Roman" w:hAnsi="Times New Roman"/>
          <w:sz w:val="28"/>
          <w:szCs w:val="28"/>
        </w:rPr>
        <w:t>.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>ует с</w:t>
      </w:r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 xml:space="preserve">посредством почтовой </w:t>
      </w:r>
      <w:proofErr w:type="gramStart"/>
      <w:r w:rsidR="00777A56" w:rsidRPr="00DE0ECA">
        <w:rPr>
          <w:rFonts w:ascii="Times New Roman" w:hAnsi="Times New Roman" w:cs="Times New Roman"/>
          <w:sz w:val="28"/>
        </w:rPr>
        <w:t>связи,</w:t>
      </w:r>
      <w:r w:rsidR="00940888" w:rsidRPr="00DE0ECA">
        <w:rPr>
          <w:rFonts w:ascii="Times New Roman" w:hAnsi="Times New Roman" w:cs="Times New Roman"/>
          <w:sz w:val="28"/>
        </w:rPr>
        <w:t xml:space="preserve">   </w:t>
      </w:r>
      <w:proofErr w:type="gramEnd"/>
      <w:r w:rsidR="00940888" w:rsidRPr="00DE0ECA">
        <w:rPr>
          <w:rFonts w:ascii="Times New Roman" w:hAnsi="Times New Roman" w:cs="Times New Roman"/>
          <w:sz w:val="28"/>
        </w:rPr>
        <w:t xml:space="preserve">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</w:t>
      </w:r>
      <w:r w:rsidR="00777A56" w:rsidRPr="00DE0ECA">
        <w:rPr>
          <w:rFonts w:ascii="Times New Roman" w:hAnsi="Times New Roman" w:cs="Times New Roman"/>
          <w:sz w:val="28"/>
        </w:rPr>
        <w:lastRenderedPageBreak/>
        <w:t xml:space="preserve">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</w:t>
      </w: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4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r w:rsidR="00442CE1" w:rsidRPr="00DE0ECA">
        <w:t>в</w:t>
      </w:r>
      <w:r w:rsidRPr="00DE0ECA">
        <w:t xml:space="preserve">иде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размещению и оформлению визуальной,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инвалидами I, </w:t>
      </w:r>
      <w:r w:rsidRPr="00DE0ECA">
        <w:lastRenderedPageBreak/>
        <w:t xml:space="preserve">II групп, и транспортных средств, перевозящих таких инвалидов и (или) детей-инвалидов. </w:t>
      </w:r>
      <w:r w:rsidR="00CE38E2" w:rsidRPr="00DE0ECA"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расположена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 при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процессе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5B116D"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E0E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116D" w:rsidRPr="00DE0ECA">
        <w:rPr>
          <w:rFonts w:ascii="Times New Roman" w:hAnsi="Times New Roman" w:cs="Times New Roman"/>
          <w:sz w:val="28"/>
          <w:szCs w:val="28"/>
        </w:rPr>
        <w:t>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>ой 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38D5F28" w14:textId="0FFD3EC2" w:rsidR="00EC0E12" w:rsidRPr="004400C7" w:rsidRDefault="008A2B1A" w:rsidP="00EC0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E12">
        <w:rPr>
          <w:rFonts w:ascii="Times New Roman" w:hAnsi="Times New Roman" w:cs="Times New Roman"/>
          <w:color w:val="FF0000"/>
          <w:sz w:val="28"/>
          <w:szCs w:val="28"/>
        </w:rPr>
        <w:t>2.26</w:t>
      </w:r>
      <w:r w:rsidR="00EC0E12" w:rsidRPr="00EC0E1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C0E12" w:rsidRPr="00EC0E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0E12" w:rsidRPr="00EC0E12">
        <w:rPr>
          <w:rFonts w:ascii="Times New Roman" w:hAnsi="Times New Roman" w:cs="Times New Roman"/>
          <w:color w:val="1A1A1A"/>
          <w:sz w:val="23"/>
          <w:szCs w:val="23"/>
        </w:rPr>
        <w:t> </w:t>
      </w:r>
      <w:r w:rsidR="00EC0E12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  </w:t>
      </w:r>
      <w:proofErr w:type="gramStart"/>
      <w:r w:rsidR="00EC0E12" w:rsidRPr="004400C7">
        <w:rPr>
          <w:rFonts w:ascii="Times New Roman" w:hAnsi="Times New Roman" w:cs="Times New Roman"/>
          <w:color w:val="FF0000"/>
          <w:sz w:val="28"/>
          <w:szCs w:val="28"/>
        </w:rPr>
        <w:t>предоставления  муниципальной</w:t>
      </w:r>
      <w:proofErr w:type="gramEnd"/>
      <w:r w:rsidR="00EC0E12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  услуги   в   упреждающем (</w:t>
      </w:r>
      <w:proofErr w:type="spellStart"/>
      <w:r w:rsidR="00EC0E12" w:rsidRPr="004400C7">
        <w:rPr>
          <w:rFonts w:ascii="Times New Roman" w:hAnsi="Times New Roman" w:cs="Times New Roman"/>
          <w:color w:val="FF0000"/>
          <w:sz w:val="28"/>
          <w:szCs w:val="28"/>
        </w:rPr>
        <w:t>проактивном</w:t>
      </w:r>
      <w:proofErr w:type="spellEnd"/>
      <w:r w:rsidR="00EC0E12" w:rsidRPr="004400C7">
        <w:rPr>
          <w:rFonts w:ascii="Times New Roman" w:hAnsi="Times New Roman" w:cs="Times New Roman"/>
          <w:color w:val="FF0000"/>
          <w:sz w:val="28"/>
          <w:szCs w:val="28"/>
        </w:rPr>
        <w:t>) режиме.</w:t>
      </w:r>
    </w:p>
    <w:p w14:paraId="71886B54" w14:textId="77777777" w:rsidR="00EC0E12" w:rsidRPr="004400C7" w:rsidRDefault="00EC0E12" w:rsidP="00EC0E12">
      <w:pPr>
        <w:pStyle w:val="Style9"/>
        <w:widowControl/>
        <w:spacing w:line="240" w:lineRule="auto"/>
        <w:ind w:firstLine="691"/>
        <w:rPr>
          <w:rStyle w:val="FontStyle16"/>
          <w:color w:val="FF0000"/>
          <w:sz w:val="28"/>
          <w:szCs w:val="28"/>
        </w:rPr>
      </w:pPr>
      <w:r w:rsidRPr="004400C7">
        <w:rPr>
          <w:rStyle w:val="FontStyle16"/>
          <w:color w:val="FF0000"/>
          <w:sz w:val="28"/>
          <w:szCs w:val="28"/>
        </w:rPr>
        <w:t xml:space="preserve"> При наступлении событий, являющихся основанием для предоставления </w:t>
      </w:r>
      <w:proofErr w:type="gramStart"/>
      <w:r w:rsidRPr="004400C7">
        <w:rPr>
          <w:rStyle w:val="FontStyle16"/>
          <w:color w:val="FF0000"/>
          <w:sz w:val="28"/>
          <w:szCs w:val="28"/>
        </w:rPr>
        <w:t>муниципальной  услуги</w:t>
      </w:r>
      <w:proofErr w:type="gramEnd"/>
      <w:r w:rsidRPr="004400C7">
        <w:rPr>
          <w:rStyle w:val="FontStyle16"/>
          <w:color w:val="FF0000"/>
          <w:sz w:val="28"/>
          <w:szCs w:val="28"/>
        </w:rPr>
        <w:t>, орган, предоставляющий муниципальную услугу, вправе:</w:t>
      </w:r>
    </w:p>
    <w:p w14:paraId="198A61A4" w14:textId="77777777" w:rsidR="00EC0E12" w:rsidRPr="004400C7" w:rsidRDefault="00EC0E12" w:rsidP="00EC0E12">
      <w:pPr>
        <w:pStyle w:val="Style9"/>
        <w:widowControl/>
        <w:spacing w:before="62" w:line="298" w:lineRule="exact"/>
        <w:ind w:firstLine="720"/>
        <w:rPr>
          <w:rStyle w:val="FontStyle16"/>
          <w:color w:val="FF0000"/>
          <w:sz w:val="28"/>
          <w:szCs w:val="28"/>
        </w:rPr>
      </w:pPr>
      <w:r w:rsidRPr="004400C7">
        <w:rPr>
          <w:rStyle w:val="FontStyle16"/>
          <w:color w:val="FF0000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CD0883F" w14:textId="77777777" w:rsidR="00EC0E12" w:rsidRPr="004400C7" w:rsidRDefault="00EC0E12" w:rsidP="00EC0E12">
      <w:pPr>
        <w:pStyle w:val="Style9"/>
        <w:widowControl/>
        <w:spacing w:before="67"/>
        <w:ind w:firstLine="691"/>
        <w:rPr>
          <w:rStyle w:val="FontStyle16"/>
          <w:color w:val="FF0000"/>
          <w:sz w:val="28"/>
          <w:szCs w:val="28"/>
        </w:rPr>
      </w:pPr>
      <w:r w:rsidRPr="004400C7">
        <w:rPr>
          <w:rStyle w:val="FontStyle16"/>
          <w:color w:val="FF0000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</w:t>
      </w:r>
      <w:bookmarkStart w:id="1" w:name="_GoBack"/>
      <w:bookmarkEnd w:id="1"/>
      <w:r w:rsidRPr="004400C7">
        <w:rPr>
          <w:rStyle w:val="FontStyle16"/>
          <w:color w:val="FF0000"/>
          <w:sz w:val="28"/>
          <w:szCs w:val="28"/>
        </w:rPr>
        <w:t xml:space="preserve">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</w:t>
      </w:r>
      <w:r w:rsidRPr="004400C7">
        <w:rPr>
          <w:rStyle w:val="FontStyle16"/>
          <w:color w:val="FF0000"/>
          <w:sz w:val="28"/>
          <w:szCs w:val="28"/>
        </w:rPr>
        <w:lastRenderedPageBreak/>
        <w:t>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1707D785" w14:textId="77777777" w:rsidR="00EC0E12" w:rsidRPr="004400C7" w:rsidRDefault="00EC0E12" w:rsidP="00EC0E12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4400C7">
        <w:rPr>
          <w:rStyle w:val="FontStyle16"/>
          <w:color w:val="FF0000"/>
          <w:sz w:val="28"/>
          <w:szCs w:val="28"/>
        </w:rPr>
        <w:t xml:space="preserve">       М</w:t>
      </w:r>
      <w:r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униципальная  услуга в упреждающем (</w:t>
      </w:r>
      <w:proofErr w:type="spellStart"/>
      <w:r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проактивном</w:t>
      </w:r>
      <w:proofErr w:type="spellEnd"/>
      <w:r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 режиме, предусмотренном </w:t>
      </w:r>
      <w:hyperlink r:id="rId15" w:history="1">
        <w:r w:rsidRPr="004400C7">
          <w:rPr>
            <w:rStyle w:val="a7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статьей 7.3</w:t>
        </w:r>
      </w:hyperlink>
      <w:r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Закона № 210-ФЗ «Об организации предоставления государственных и муниципальных услуг.», не предоставляется.     </w:t>
      </w:r>
    </w:p>
    <w:p w14:paraId="6A1BCF9F" w14:textId="35A21BF6" w:rsidR="00346C8B" w:rsidRPr="008A2B1A" w:rsidRDefault="00346C8B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документа(-</w:t>
      </w:r>
      <w:proofErr w:type="spellStart"/>
      <w:r w:rsidRPr="00DE0E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0ECA">
        <w:rPr>
          <w:rFonts w:ascii="Times New Roman" w:hAnsi="Times New Roman" w:cs="Times New Roman"/>
          <w:sz w:val="28"/>
          <w:szCs w:val="28"/>
        </w:rPr>
        <w:t>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148C5E15" w:rsidR="007E3E35" w:rsidRPr="00DE0ECA" w:rsidRDefault="009711E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</w:t>
      </w:r>
      <w:r w:rsidRPr="00DE0ECA">
        <w:rPr>
          <w:rFonts w:ascii="Times New Roman" w:hAnsi="Times New Roman" w:cs="Times New Roman"/>
          <w:sz w:val="28"/>
        </w:rPr>
        <w:lastRenderedPageBreak/>
        <w:t xml:space="preserve">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порядке,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>Администрацией 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производит действия в соответствии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</w:t>
      </w:r>
      <w:r w:rsidRPr="00DE0ECA">
        <w:rPr>
          <w:sz w:val="28"/>
          <w:szCs w:val="28"/>
        </w:rPr>
        <w:lastRenderedPageBreak/>
        <w:t xml:space="preserve">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7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8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66CCD01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утверждаемых </w:t>
      </w:r>
      <w:r w:rsidR="008A2B1A" w:rsidRPr="004400C7">
        <w:rPr>
          <w:rFonts w:ascii="Times New Roman" w:hAnsi="Times New Roman" w:cs="Times New Roman"/>
          <w:color w:val="FF0000"/>
          <w:sz w:val="28"/>
          <w:szCs w:val="28"/>
        </w:rPr>
        <w:t>главой</w:t>
      </w:r>
      <w:r w:rsidR="00BF6517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</w:t>
      </w:r>
      <w:r w:rsidR="000F5209" w:rsidRPr="004400C7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  <w:r w:rsidR="00774D80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A2B1A" w:rsidRPr="004400C7">
        <w:rPr>
          <w:rFonts w:ascii="Times New Roman" w:hAnsi="Times New Roman" w:cs="Times New Roman"/>
          <w:color w:val="FF0000"/>
          <w:sz w:val="28"/>
          <w:szCs w:val="28"/>
        </w:rPr>
        <w:t>Чекмагушевский</w:t>
      </w:r>
      <w:proofErr w:type="spellEnd"/>
      <w:r w:rsidR="008A2B1A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 w:rsidR="00BF6517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Р</w:t>
      </w:r>
      <w:r w:rsidR="000F5209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еспублики </w:t>
      </w:r>
      <w:r w:rsidR="00BF6517" w:rsidRPr="004400C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0F5209" w:rsidRPr="004400C7">
        <w:rPr>
          <w:rFonts w:ascii="Times New Roman" w:hAnsi="Times New Roman" w:cs="Times New Roman"/>
          <w:color w:val="FF0000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lastRenderedPageBreak/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5.1.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0D53E0EB" w14:textId="4C33F4EA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654118B2" w14:textId="77777777" w:rsidR="004400C7" w:rsidRPr="004400C7" w:rsidRDefault="00C80054" w:rsidP="0044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400C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B61A9" w:rsidRPr="004400C7">
        <w:rPr>
          <w:rFonts w:ascii="Times New Roman" w:hAnsi="Times New Roman" w:cs="Times New Roman"/>
          <w:color w:val="FF0000"/>
          <w:sz w:val="28"/>
          <w:szCs w:val="28"/>
        </w:rPr>
        <w:t>остановление</w:t>
      </w:r>
      <w:r w:rsidRPr="004400C7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0B61A9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</w:t>
      </w:r>
      <w:r w:rsidR="00E73E56" w:rsidRPr="004400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00C7"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4400C7"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Чекмагушевский</w:t>
      </w:r>
      <w:proofErr w:type="spellEnd"/>
      <w:r w:rsidR="004400C7"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 Республики Башкортостан от 05.10.2018 г. № 523«О Правилах подачи и рассмотрения жалоб на решения и действия (бездействие) Администрации муниципального района </w:t>
      </w:r>
      <w:proofErr w:type="spellStart"/>
      <w:r w:rsidR="004400C7"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Чекмагушевский</w:t>
      </w:r>
      <w:proofErr w:type="spellEnd"/>
      <w:r w:rsidR="004400C7" w:rsidRPr="00440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 Республики Башкортостан и ее должностных лиц, муниципальных служащих, а также организаций, осуществляющих функции по предоставлению муниципальных услуг, и их работников»;</w:t>
      </w:r>
    </w:p>
    <w:p w14:paraId="4B8E54D8" w14:textId="508A508D" w:rsidR="00634D6E" w:rsidRDefault="00634D6E" w:rsidP="004400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0E9092" w14:textId="77777777" w:rsidR="003C7D63" w:rsidRPr="00DE0ECA" w:rsidRDefault="003C7D63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714C66" w14:textId="77777777" w:rsidR="004669DD" w:rsidRPr="00DE0ECA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EDC1C2" w14:textId="77777777" w:rsidR="0078104C" w:rsidRPr="00DE0ECA" w:rsidRDefault="0078104C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36"/>
      </w:tblGrid>
      <w:tr w:rsidR="0037752A" w:rsidRPr="00DE0ECA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0C22B363" w14:textId="7D8EF3D5" w:rsidR="0037752A" w:rsidRPr="00DE0ECA" w:rsidRDefault="0037752A" w:rsidP="0037752A">
            <w:pPr>
              <w:pStyle w:val="ConsPlusNormal"/>
            </w:pPr>
            <w:r w:rsidRPr="00DE0ECA">
              <w:t>Приложение № 1 к Административному регламенту</w:t>
            </w:r>
          </w:p>
          <w:p w14:paraId="15578F51" w14:textId="6D93F6F2" w:rsidR="0037752A" w:rsidRPr="00DE0ECA" w:rsidRDefault="008A2B1A" w:rsidP="0037752A">
            <w:pPr>
              <w:pStyle w:val="ConsPlusNormal"/>
            </w:pPr>
            <w:r>
              <w:t xml:space="preserve">Администрации СП </w:t>
            </w:r>
            <w:proofErr w:type="spellStart"/>
            <w:r>
              <w:t>Юмашевский</w:t>
            </w:r>
            <w:proofErr w:type="spellEnd"/>
            <w:r>
              <w:t xml:space="preserve"> сельсовет </w:t>
            </w:r>
            <w:r w:rsidR="0037752A" w:rsidRPr="00DE0ECA">
              <w:t>Муниципального района</w:t>
            </w:r>
          </w:p>
          <w:p w14:paraId="4361E619" w14:textId="5FA2AF91" w:rsidR="0037752A" w:rsidRPr="00DE0ECA" w:rsidRDefault="008A2B1A" w:rsidP="0037752A">
            <w:pPr>
              <w:pStyle w:val="ConsPlusNormal"/>
            </w:pP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  <w:p w14:paraId="2A48A4BF" w14:textId="6B7A916B" w:rsidR="0037752A" w:rsidRPr="00DE0ECA" w:rsidRDefault="0037752A" w:rsidP="0037752A">
            <w:pPr>
              <w:pStyle w:val="ConsPlusNormal"/>
            </w:pPr>
            <w:r w:rsidRPr="00DE0ECA">
              <w:t>Республики Башкортостан</w:t>
            </w:r>
          </w:p>
          <w:p w14:paraId="315C3CC2" w14:textId="3D0A09C1" w:rsidR="0037752A" w:rsidRPr="00DE0ECA" w:rsidRDefault="0037752A" w:rsidP="0037752A">
            <w:pPr>
              <w:pStyle w:val="ConsPlusNormal"/>
            </w:pPr>
            <w:r w:rsidRPr="00DE0ECA">
              <w:t>по предоставлению муниципальной услуги</w:t>
            </w:r>
            <w:r w:rsidR="000E62A1" w:rsidRPr="00DE0ECA">
              <w:t xml:space="preserve"> </w:t>
            </w:r>
            <w:r w:rsidRPr="00DE0ECA">
              <w:t>«Предоставление информации из Реестра</w:t>
            </w:r>
            <w:r w:rsidR="000E62A1" w:rsidRPr="00DE0ECA">
              <w:t xml:space="preserve"> </w:t>
            </w:r>
            <w:r w:rsidRPr="00DE0ECA">
              <w:t xml:space="preserve">муниципального </w:t>
            </w:r>
            <w:r w:rsidR="000E62A1" w:rsidRPr="00DE0ECA">
              <w:t>и</w:t>
            </w:r>
            <w:r w:rsidRPr="00DE0ECA">
              <w:t>мущества»</w:t>
            </w:r>
          </w:p>
          <w:p w14:paraId="053FA222" w14:textId="77777777" w:rsidR="0037752A" w:rsidRPr="00DE0ECA" w:rsidRDefault="0037752A" w:rsidP="0037752A">
            <w:pPr>
              <w:pStyle w:val="ConsPlusNormal"/>
            </w:pPr>
          </w:p>
          <w:p w14:paraId="34E10472" w14:textId="084299E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481A68" w:rsidRPr="00DE0ECA">
              <w:rPr>
                <w:rFonts w:ascii="Times New Roman" w:hAnsi="Times New Roman" w:cs="Times New Roman"/>
                <w:sz w:val="28"/>
                <w:szCs w:val="28"/>
              </w:rPr>
              <w:t>Администрации (Уполномоченного органа)</w:t>
            </w:r>
          </w:p>
          <w:p w14:paraId="16D75AEA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6161969" w14:textId="00EF33D5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0ECA">
              <w:rPr>
                <w:rFonts w:ascii="Times New Roman" w:hAnsi="Times New Roman" w:cs="Times New Roman"/>
              </w:rPr>
              <w:t>(Ф.И.О.)</w:t>
            </w:r>
          </w:p>
          <w:p w14:paraId="5B682980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14:paraId="75A62B6B" w14:textId="5015C31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0ECA">
              <w:rPr>
                <w:rFonts w:ascii="Times New Roman" w:hAnsi="Times New Roman" w:cs="Times New Roman"/>
              </w:rPr>
              <w:t>(Ф.И.О.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A">
              <w:rPr>
                <w:rFonts w:ascii="Times New Roman" w:hAnsi="Times New Roman" w:cs="Times New Roman"/>
              </w:rPr>
              <w:t>гражданина в родительном падеже/полное наименование юридического лица)</w:t>
            </w:r>
          </w:p>
          <w:p w14:paraId="48179EB2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D2FFE30" w14:textId="79AF4F6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</w:rPr>
              <w:t>(адрес, контактный телефон, e-</w:t>
            </w:r>
            <w:proofErr w:type="spellStart"/>
            <w:r w:rsidRPr="00DE0ECA">
              <w:rPr>
                <w:rFonts w:ascii="Times New Roman" w:hAnsi="Times New Roman" w:cs="Times New Roman"/>
              </w:rPr>
              <w:t>mail</w:t>
            </w:r>
            <w:proofErr w:type="spellEnd"/>
            <w:r w:rsidRPr="00DE0ECA">
              <w:rPr>
                <w:rFonts w:ascii="Times New Roman" w:hAnsi="Times New Roman" w:cs="Times New Roman"/>
              </w:rPr>
              <w:t xml:space="preserve"> при наличии)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5D2A487C" w:rsidR="0078104C" w:rsidRPr="00DE0ECA" w:rsidRDefault="006A65B5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DE0ECA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следующего(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proofErr w:type="spellStart"/>
      <w:r w:rsidR="0078104C" w:rsidRPr="00DE0ECA">
        <w:rPr>
          <w:rFonts w:ascii="Times New Roman" w:hAnsi="Times New Roman"/>
          <w:sz w:val="24"/>
          <w:szCs w:val="24"/>
        </w:rPr>
        <w:t>ов</w:t>
      </w:r>
      <w:proofErr w:type="spellEnd"/>
      <w:r w:rsidR="0078104C" w:rsidRPr="00DE0EC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13"/>
        <w:gridCol w:w="1832"/>
        <w:gridCol w:w="1709"/>
        <w:gridCol w:w="2045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0C74773C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47E1D" w14:textId="68076DDA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P473"/>
      <w:bookmarkEnd w:id="2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 xml:space="preserve">дата направления </w:t>
      </w:r>
      <w:proofErr w:type="gramStart"/>
      <w:r w:rsidRPr="00DE0ECA">
        <w:rPr>
          <w:rFonts w:ascii="Times New Roman" w:hAnsi="Times New Roman" w:cs="Times New Roman"/>
        </w:rPr>
        <w:t>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ECA">
        <w:rPr>
          <w:rFonts w:ascii="Times New Roman" w:hAnsi="Times New Roman"/>
          <w:sz w:val="24"/>
          <w:szCs w:val="24"/>
        </w:rPr>
        <w:t>В</w:t>
      </w:r>
      <w:proofErr w:type="gramEnd"/>
      <w:r w:rsidRPr="00DE0ECA">
        <w:rPr>
          <w:rFonts w:ascii="Times New Roman" w:hAnsi="Times New Roman"/>
          <w:sz w:val="24"/>
          <w:szCs w:val="24"/>
        </w:rPr>
        <w:t xml:space="preserve">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2365F61" w14:textId="7E9ACF6D" w:rsidR="005F7B9A" w:rsidRPr="00DE0ECA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└─┘Согласен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64401CEE" w14:textId="0B153BB3" w:rsidR="00686109" w:rsidRPr="00DE0ECA" w:rsidRDefault="00686109" w:rsidP="0078104C">
      <w:pPr>
        <w:pStyle w:val="ConsPlusNormal"/>
        <w:jc w:val="right"/>
        <w:rPr>
          <w:b/>
        </w:rPr>
      </w:pPr>
    </w:p>
    <w:p w14:paraId="489FE804" w14:textId="4F68FEF1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77777777" w:rsidR="00686109" w:rsidRPr="00DE0ECA" w:rsidRDefault="00686109" w:rsidP="0078104C">
      <w:pPr>
        <w:pStyle w:val="ConsPlusNormal"/>
        <w:jc w:val="right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0CA1EB15" w14:textId="5C3A9AFF" w:rsidR="000E62A1" w:rsidRPr="00DE0ECA" w:rsidRDefault="000E62A1" w:rsidP="000E62A1">
            <w:pPr>
              <w:pStyle w:val="ConsPlusNormal"/>
            </w:pPr>
            <w:r w:rsidRPr="00DE0ECA">
              <w:t>Приложение № 2 к Административному регламенту</w:t>
            </w:r>
          </w:p>
          <w:p w14:paraId="52424A52" w14:textId="78A7B435" w:rsidR="000E62A1" w:rsidRPr="00DE0ECA" w:rsidRDefault="00832220" w:rsidP="000E62A1">
            <w:pPr>
              <w:pStyle w:val="ConsPlusNormal"/>
            </w:pPr>
            <w:r w:rsidRPr="00DE0ECA">
              <w:t>м</w:t>
            </w:r>
            <w:r w:rsidR="000E62A1" w:rsidRPr="00DE0ECA">
              <w:t>униципального района</w:t>
            </w:r>
          </w:p>
          <w:p w14:paraId="542A0F4B" w14:textId="77777777" w:rsidR="000E62A1" w:rsidRPr="00DE0ECA" w:rsidRDefault="000E62A1" w:rsidP="000E62A1">
            <w:pPr>
              <w:pStyle w:val="ConsPlusNormal"/>
            </w:pPr>
            <w:r w:rsidRPr="00DE0ECA">
              <w:t>_________________</w:t>
            </w:r>
          </w:p>
          <w:p w14:paraId="6C99927A" w14:textId="77777777" w:rsidR="000E62A1" w:rsidRPr="00DE0ECA" w:rsidRDefault="000E62A1" w:rsidP="000E62A1">
            <w:pPr>
              <w:pStyle w:val="ConsPlusNormal"/>
            </w:pPr>
            <w:r w:rsidRPr="00DE0ECA">
              <w:t>Республики Башкортостан</w:t>
            </w:r>
          </w:p>
          <w:p w14:paraId="5A95312E" w14:textId="77777777" w:rsidR="000E62A1" w:rsidRPr="00DE0ECA" w:rsidRDefault="000E62A1" w:rsidP="000E62A1">
            <w:pPr>
              <w:pStyle w:val="ConsPlusNormal"/>
            </w:pPr>
            <w:r w:rsidRPr="00DE0ECA">
              <w:t>по предоставлению муниципальной услуги</w:t>
            </w:r>
          </w:p>
          <w:p w14:paraId="3298F47B" w14:textId="4D32D94C" w:rsidR="000E62A1" w:rsidRPr="00DE0ECA" w:rsidRDefault="000E62A1" w:rsidP="000E62A1">
            <w:pPr>
              <w:pStyle w:val="ConsPlusNormal"/>
            </w:pPr>
            <w:r w:rsidRPr="00DE0ECA">
              <w:t>«Предоставление информации из Реестра муниципального имущества»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530CEB0C" w:rsidR="00B5162B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5162B">
              <w:rPr>
                <w:rFonts w:eastAsia="Calibri"/>
              </w:rPr>
              <w:t xml:space="preserve">Приложение № </w:t>
            </w:r>
            <w:r w:rsidR="00C05D24" w:rsidRPr="00B5162B">
              <w:rPr>
                <w:rFonts w:eastAsia="Calibri"/>
              </w:rPr>
              <w:t>3</w:t>
            </w:r>
          </w:p>
          <w:p w14:paraId="7B811FE5" w14:textId="77777777" w:rsidR="000E62A1" w:rsidRPr="00B5162B" w:rsidRDefault="000E62A1" w:rsidP="000E62A1">
            <w:pPr>
              <w:pStyle w:val="ConsPlusNormal"/>
            </w:pPr>
            <w:r w:rsidRPr="00B5162B">
              <w:rPr>
                <w:rFonts w:eastAsia="Calibri"/>
              </w:rPr>
              <w:t xml:space="preserve">к </w:t>
            </w:r>
            <w:r w:rsidRPr="00B5162B">
              <w:t>Административному регламенту</w:t>
            </w:r>
          </w:p>
          <w:p w14:paraId="23B18F4D" w14:textId="77777777" w:rsidR="000E62A1" w:rsidRPr="00B5162B" w:rsidRDefault="000E62A1" w:rsidP="000E62A1">
            <w:pPr>
              <w:pStyle w:val="ConsPlusNormal"/>
            </w:pPr>
            <w:r w:rsidRPr="00B5162B">
              <w:t>Муниципального района</w:t>
            </w:r>
          </w:p>
          <w:p w14:paraId="6DD3413B" w14:textId="77777777" w:rsidR="000E62A1" w:rsidRPr="00B5162B" w:rsidRDefault="000E62A1" w:rsidP="000E62A1">
            <w:pPr>
              <w:pStyle w:val="ConsPlusNormal"/>
            </w:pPr>
            <w:r w:rsidRPr="00B5162B">
              <w:t>_________________</w:t>
            </w:r>
          </w:p>
          <w:p w14:paraId="5C7A607B" w14:textId="77777777" w:rsidR="000E62A1" w:rsidRPr="00B5162B" w:rsidRDefault="000E62A1" w:rsidP="000E62A1">
            <w:pPr>
              <w:pStyle w:val="ConsPlusNormal"/>
            </w:pPr>
            <w:r w:rsidRPr="00B5162B"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  <w:r w:rsidRPr="00B5162B"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B5162B">
              <w:t>и</w:t>
            </w:r>
            <w:r w:rsidRPr="00B5162B"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</w:t>
            </w:r>
            <w:r w:rsidR="000E62A1" w:rsidRPr="00DE0ECA">
              <w:rPr>
                <w:rFonts w:eastAsia="Calibri"/>
                <w:sz w:val="24"/>
                <w:szCs w:val="24"/>
              </w:rPr>
              <w:lastRenderedPageBreak/>
              <w:t>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lastRenderedPageBreak/>
              <w:t>Сопроводительное письмо с выпиской, подписанное и зарегистрированное  в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подписанный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0A99" w14:textId="77777777" w:rsidR="00501125" w:rsidRDefault="00501125">
      <w:pPr>
        <w:spacing w:after="0" w:line="240" w:lineRule="auto"/>
      </w:pPr>
      <w:r>
        <w:separator/>
      </w:r>
    </w:p>
  </w:endnote>
  <w:endnote w:type="continuationSeparator" w:id="0">
    <w:p w14:paraId="4EF2FA57" w14:textId="77777777" w:rsidR="00501125" w:rsidRDefault="0050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48DD" w14:textId="77777777" w:rsidR="00501125" w:rsidRDefault="00501125">
      <w:pPr>
        <w:spacing w:after="0" w:line="240" w:lineRule="auto"/>
      </w:pPr>
      <w:r>
        <w:separator/>
      </w:r>
    </w:p>
  </w:footnote>
  <w:footnote w:type="continuationSeparator" w:id="0">
    <w:p w14:paraId="7ADFD1A8" w14:textId="77777777" w:rsidR="00501125" w:rsidRDefault="0050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7E09F4C8" w:rsidR="009711E5" w:rsidRPr="00C664F6" w:rsidRDefault="009711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0C7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9711E5" w:rsidRDefault="00971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4756"/>
    <w:rsid w:val="004400C7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1125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9317A"/>
    <w:rsid w:val="00897B3E"/>
    <w:rsid w:val="008A2B1A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1E5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0E12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6AEA0850-1829-40C0-9714-EB0232D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  <w:style w:type="paragraph" w:customStyle="1" w:styleId="Style9">
    <w:name w:val="Style9"/>
    <w:basedOn w:val="a"/>
    <w:uiPriority w:val="99"/>
    <w:rsid w:val="00EC0E12"/>
    <w:pPr>
      <w:widowControl w:val="0"/>
      <w:autoSpaceDE w:val="0"/>
      <w:autoSpaceDN w:val="0"/>
      <w:adjustRightInd w:val="0"/>
      <w:spacing w:after="0" w:line="30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EC0E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39C50DB8EA87F01A21CEEFC10FDBEA7782E4AF35F22EABCD994C122012EBA9B6FCC6E3DA75DF978B0DE21CAA9951DA901FEAkCF2K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6DA75DF978B0DE21CAA9951DA901FEAkCF2K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8A831F72EABCD994C122012EBA9A4FC9EEAD02190D3D71EE11CB6k9F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37A4CBEA4C6A31B9D722085405E6A0FB2D8E8C20C753BBB8BF2FCD508DE3BA98184979249DD7F60A1F69CC21933629CA851E3D0Fj1zFF" TargetMode="External"/><Relationship Id="rId10" Type="http://schemas.openxmlformats.org/officeDocument/2006/relationships/hyperlink" Target="consultantplus://offline/ref=CA39C50DB8EA87F01A21CEEFC10FDBEA7782EAA933F52EABCD994C122012EBA9A4FC9EEAD02190D3D71EE11CB6k9F8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ashevo.ru/" TargetMode="External"/><Relationship Id="rId14" Type="http://schemas.openxmlformats.org/officeDocument/2006/relationships/hyperlink" Target="consultantplus://offline/ref=CA39C50DB8EA87F01A21CEEFC10FDBEA758BEBAC37FB2EABCD994C122012EBA9A4FC9EEAD02190D3D71EE11CB6k9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8484-14A0-41DA-A6F1-074635A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40</Pages>
  <Words>12327</Words>
  <Characters>70265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82428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5</cp:revision>
  <cp:lastPrinted>2023-09-19T06:54:00Z</cp:lastPrinted>
  <dcterms:created xsi:type="dcterms:W3CDTF">2023-10-05T06:31:00Z</dcterms:created>
  <dcterms:modified xsi:type="dcterms:W3CDTF">2024-02-08T03:56:00Z</dcterms:modified>
</cp:coreProperties>
</file>