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6707D5" w:rsidTr="000710B0">
        <w:trPr>
          <w:cantSplit/>
        </w:trPr>
        <w:tc>
          <w:tcPr>
            <w:tcW w:w="4678" w:type="dxa"/>
            <w:hideMark/>
          </w:tcPr>
          <w:p w:rsidR="006707D5" w:rsidRDefault="006707D5" w:rsidP="000710B0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6707D5" w:rsidRDefault="006707D5" w:rsidP="000710B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6707D5" w:rsidRDefault="006707D5" w:rsidP="00071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6707D5" w:rsidRDefault="006707D5" w:rsidP="000710B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6707D5" w:rsidRDefault="006707D5" w:rsidP="000710B0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6707D5" w:rsidRDefault="006707D5" w:rsidP="000710B0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</w:p>
        </w:tc>
        <w:tc>
          <w:tcPr>
            <w:tcW w:w="1619" w:type="dxa"/>
            <w:hideMark/>
          </w:tcPr>
          <w:p w:rsidR="006707D5" w:rsidRDefault="006707D5" w:rsidP="000710B0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79500"/>
                  <wp:effectExtent l="19050" t="0" r="8890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hideMark/>
          </w:tcPr>
          <w:p w:rsidR="006707D5" w:rsidRDefault="006707D5" w:rsidP="000710B0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Администрация</w:t>
            </w:r>
          </w:p>
          <w:p w:rsidR="006707D5" w:rsidRDefault="006707D5" w:rsidP="000710B0">
            <w:pPr>
              <w:pStyle w:val="6"/>
              <w:framePr w:wrap="around"/>
              <w:spacing w:line="276" w:lineRule="auto"/>
              <w:rPr>
                <w:rFonts w:ascii="Times New Roman" w:hAnsi="Times New Roman"/>
                <w:b w:val="0"/>
                <w:bCs/>
                <w:i/>
                <w:caps/>
                <w:sz w:val="24"/>
              </w:rPr>
            </w:pPr>
            <w:r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6707D5" w:rsidRDefault="006707D5" w:rsidP="000710B0">
            <w:pPr>
              <w:pStyle w:val="4"/>
              <w:framePr w:wrap="around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ЮМАШЕВСКИЙ СЕЛЬСОВЕТ</w:t>
            </w:r>
          </w:p>
          <w:p w:rsidR="006707D5" w:rsidRDefault="006707D5" w:rsidP="000710B0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707D5" w:rsidTr="000710B0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707D5" w:rsidRDefault="006707D5" w:rsidP="000710B0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6707D5" w:rsidRDefault="006707D5" w:rsidP="006707D5">
      <w:pPr>
        <w:rPr>
          <w:sz w:val="8"/>
          <w:szCs w:val="28"/>
        </w:rPr>
      </w:pPr>
    </w:p>
    <w:p w:rsidR="006707D5" w:rsidRDefault="006707D5" w:rsidP="006707D5">
      <w:pPr>
        <w:spacing w:after="0"/>
        <w:rPr>
          <w:rFonts w:ascii="TimBashk" w:hAnsi="TimBashk"/>
          <w:sz w:val="28"/>
          <w:szCs w:val="28"/>
        </w:rPr>
      </w:pPr>
      <w:r>
        <w:rPr>
          <w:rFonts w:ascii="TimBashk" w:hAnsi="TimBashk"/>
          <w:caps/>
          <w:sz w:val="36"/>
          <w:lang w:val="tt-RU"/>
        </w:rPr>
        <w:t xml:space="preserve">   </w:t>
      </w:r>
      <w:r>
        <w:rPr>
          <w:rFonts w:ascii="TimBashk" w:hAnsi="TimBashk"/>
          <w:caps/>
          <w:sz w:val="28"/>
          <w:szCs w:val="28"/>
          <w:lang w:val="tt-RU"/>
        </w:rPr>
        <w:t>К</w:t>
      </w:r>
      <w:r>
        <w:rPr>
          <w:caps/>
          <w:sz w:val="28"/>
          <w:szCs w:val="28"/>
          <w:lang w:val="tt-RU"/>
        </w:rPr>
        <w:t xml:space="preserve"> </w:t>
      </w:r>
      <w:r>
        <w:rPr>
          <w:rFonts w:ascii="TimBashk" w:hAnsi="TimBashk"/>
          <w:caps/>
          <w:sz w:val="28"/>
          <w:szCs w:val="28"/>
        </w:rPr>
        <w:t>А Р А Р</w:t>
      </w:r>
      <w:r>
        <w:rPr>
          <w:rFonts w:ascii="Arial New Bash" w:hAnsi="Arial New Bash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rFonts w:ascii="Arial New Bash" w:hAnsi="Arial New Bash"/>
          <w:sz w:val="28"/>
          <w:szCs w:val="28"/>
        </w:rPr>
        <w:t xml:space="preserve">                                              </w:t>
      </w:r>
      <w:r>
        <w:rPr>
          <w:rFonts w:ascii="TimBashk" w:hAnsi="TimBashk"/>
          <w:sz w:val="28"/>
          <w:szCs w:val="28"/>
        </w:rPr>
        <w:t>ПОСТАНОВЛЕНИЕ</w:t>
      </w:r>
    </w:p>
    <w:p w:rsidR="006707D5" w:rsidRDefault="006707D5" w:rsidP="006707D5">
      <w:pPr>
        <w:rPr>
          <w:rFonts w:ascii="Times New Roman" w:hAnsi="Times New Roman" w:cs="Times New Roman"/>
          <w:sz w:val="28"/>
          <w:szCs w:val="28"/>
        </w:rPr>
      </w:pPr>
    </w:p>
    <w:p w:rsidR="006707D5" w:rsidRDefault="006707D5" w:rsidP="006707D5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декабрь  2019 -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                          № 70                  02  декабря  2019 г.</w:t>
      </w:r>
    </w:p>
    <w:p w:rsidR="006707D5" w:rsidRDefault="006707D5" w:rsidP="0067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D5" w:rsidRDefault="006707D5" w:rsidP="006707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7D5" w:rsidRDefault="006707D5" w:rsidP="00670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7D5" w:rsidRDefault="006707D5" w:rsidP="00670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707D5" w:rsidRDefault="006707D5" w:rsidP="006707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Жилому дому, расположенному на земельном участке с кадастровым номером 02:51:150201:66 присвоить следующий почтовый адрес: 452227, Российская Федерация, Республика Башкортостан, Чекмагушевский муниципальный район, сельское поселение Юмашевский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Николаева, дом 12.</w:t>
      </w:r>
    </w:p>
    <w:p w:rsidR="006707D5" w:rsidRDefault="006707D5" w:rsidP="006707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     за собой.</w:t>
      </w:r>
    </w:p>
    <w:p w:rsidR="006707D5" w:rsidRDefault="006707D5" w:rsidP="006707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07D5" w:rsidRDefault="006707D5" w:rsidP="006707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07D5" w:rsidRDefault="006707D5" w:rsidP="006707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07D5" w:rsidRDefault="006707D5" w:rsidP="006707D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</w:t>
      </w:r>
      <w:proofErr w:type="spellStart"/>
      <w:r>
        <w:rPr>
          <w:sz w:val="28"/>
          <w:szCs w:val="28"/>
        </w:rPr>
        <w:t>Р.Х.Салимгареева</w:t>
      </w:r>
      <w:proofErr w:type="spellEnd"/>
      <w:r>
        <w:rPr>
          <w:sz w:val="28"/>
          <w:szCs w:val="28"/>
        </w:rPr>
        <w:t> </w:t>
      </w:r>
    </w:p>
    <w:p w:rsidR="006707D5" w:rsidRDefault="006707D5" w:rsidP="006707D5"/>
    <w:p w:rsidR="006707D5" w:rsidRDefault="006707D5" w:rsidP="006707D5"/>
    <w:p w:rsidR="006707D5" w:rsidRDefault="006707D5" w:rsidP="006707D5"/>
    <w:p w:rsidR="006707D5" w:rsidRDefault="006707D5" w:rsidP="006707D5"/>
    <w:p w:rsidR="006707D5" w:rsidRDefault="006707D5" w:rsidP="006707D5"/>
    <w:p w:rsidR="00434107" w:rsidRDefault="00434107"/>
    <w:sectPr w:rsidR="00434107" w:rsidSect="0006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07D5"/>
    <w:rsid w:val="00434107"/>
    <w:rsid w:val="0067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07D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707D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707D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07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707D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707D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707D5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dcterms:created xsi:type="dcterms:W3CDTF">2019-12-02T05:35:00Z</dcterms:created>
  <dcterms:modified xsi:type="dcterms:W3CDTF">2019-12-02T05:39:00Z</dcterms:modified>
</cp:coreProperties>
</file>